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263238"/>
          <w:sz w:val="48"/>
        </w:rPr>
        <w:t>SWOT Analysis</w:t>
      </w:r>
    </w:p>
    <w:p>
      <w:pPr>
        <w:spacing w:after="160"/>
      </w:pPr>
      <w:r>
        <w:rPr>
          <w:b w:val="0"/>
          <w:i/>
          <w:color w:val="616161"/>
          <w:sz w:val="19"/>
        </w:rPr>
        <w:t>Project / business: Green Leaf Café – new branch  •  Prepared by: Planning team  •  Date: 04 Nov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608" w:hRule="atLeast"/>
        </w:trPr>
        <w:tc>
          <w:tcPr>
            <w:tcW w:type="dxa" w:w="5184"/>
            <w:shd w:val="clear" w:fill="E8F5E9"/>
          </w:tcPr>
          <w:p>
            <w:pPr>
              <w:spacing w:after="40"/>
            </w:pPr>
            <w:r/>
            <w:r>
              <w:rPr>
                <w:b/>
                <w:i w:val="0"/>
                <w:color w:val="2E7D32"/>
                <w:sz w:val="30"/>
              </w:rPr>
              <w:t>STRENGTHS</w:t>
            </w:r>
          </w:p>
          <w:p>
            <w:pPr>
              <w:spacing w:after="40"/>
            </w:pPr>
            <w:r>
              <w:rPr>
                <w:b w:val="0"/>
                <w:i/>
                <w:color w:val="757575"/>
                <w:sz w:val="17"/>
              </w:rPr>
              <w:t>Internal • helpful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Loyal customer base and 4.7-star average rating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Signature menu items made from local produce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Experienced, well-trained staff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Strong social media following (12k)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Low staff turnover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 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 </w:t>
            </w:r>
          </w:p>
        </w:tc>
        <w:tc>
          <w:tcPr>
            <w:tcW w:type="dxa" w:w="5184"/>
            <w:shd w:val="clear" w:fill="FFEBEE"/>
          </w:tcPr>
          <w:p>
            <w:pPr>
              <w:spacing w:after="40"/>
            </w:pPr>
            <w:r/>
            <w:r>
              <w:rPr>
                <w:b/>
                <w:i w:val="0"/>
                <w:color w:val="C62828"/>
                <w:sz w:val="30"/>
              </w:rPr>
              <w:t>WEAKNESSES</w:t>
            </w:r>
          </w:p>
          <w:p>
            <w:pPr>
              <w:spacing w:after="40"/>
            </w:pPr>
            <w:r>
              <w:rPr>
                <w:b w:val="0"/>
                <w:i/>
                <w:color w:val="757575"/>
                <w:sz w:val="17"/>
              </w:rPr>
              <w:t>Internal • harmful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Limited seating at current location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No online ordering system yet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Higher prices than nearby chains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Dependence on one key supplier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Small marketing budget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 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 </w:t>
            </w:r>
          </w:p>
        </w:tc>
      </w:tr>
      <w:tr>
        <w:trPr>
          <w:trHeight w:val="4608" w:hRule="atLeast"/>
        </w:trPr>
        <w:tc>
          <w:tcPr>
            <w:tcW w:type="dxa" w:w="5184"/>
            <w:shd w:val="clear" w:fill="E3F2FD"/>
          </w:tcPr>
          <w:p>
            <w:pPr>
              <w:spacing w:after="40"/>
            </w:pPr>
            <w:r/>
            <w:r>
              <w:rPr>
                <w:b/>
                <w:i w:val="0"/>
                <w:color w:val="1565C0"/>
                <w:sz w:val="30"/>
              </w:rPr>
              <w:t>OPPORTUNITIES</w:t>
            </w:r>
          </w:p>
          <w:p>
            <w:pPr>
              <w:spacing w:after="40"/>
            </w:pPr>
            <w:r>
              <w:rPr>
                <w:b w:val="0"/>
                <w:i/>
                <w:color w:val="757575"/>
                <w:sz w:val="17"/>
              </w:rPr>
              <w:t>External • helpful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New office park opening near proposed branch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Growing demand for healthy takeaway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Catering for corporate events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Delivery app partnerships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Seasonal menus and loyalty programme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 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 </w:t>
            </w:r>
          </w:p>
        </w:tc>
        <w:tc>
          <w:tcPr>
            <w:tcW w:type="dxa" w:w="5184"/>
            <w:shd w:val="clear" w:fill="FFF3E0"/>
          </w:tcPr>
          <w:p>
            <w:pPr>
              <w:spacing w:after="40"/>
            </w:pPr>
            <w:r/>
            <w:r>
              <w:rPr>
                <w:b/>
                <w:i w:val="0"/>
                <w:color w:val="EF6C00"/>
                <w:sz w:val="30"/>
              </w:rPr>
              <w:t>THREATS</w:t>
            </w:r>
          </w:p>
          <w:p>
            <w:pPr>
              <w:spacing w:after="40"/>
            </w:pPr>
            <w:r>
              <w:rPr>
                <w:b w:val="0"/>
                <w:i/>
                <w:color w:val="757575"/>
                <w:sz w:val="17"/>
              </w:rPr>
              <w:t>External • harmful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Two new competitors planned in the area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Rising rent and ingredient costs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Staff shortages in the hospitality sector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Changing customer spending habits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 Possible road works affecting access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 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 </w:t>
            </w:r>
          </w:p>
        </w:tc>
      </w:tr>
    </w:tbl>
    <w:p>
      <w:r>
        <w:rPr>
          <w:b w:val="0"/>
          <w:i w:val="0"/>
          <w:sz w:val="12"/>
        </w:rPr>
      </w:r>
    </w:p>
    <w:p>
      <w:pPr>
        <w:spacing w:after="40"/>
        <w:pBdr>
          <w:bottom w:val="single" w:sz="8" w:color="263238" w:space="1"/>
        </w:pBdr>
      </w:pPr>
      <w:r>
        <w:rPr>
          <w:b/>
          <w:i w:val="0"/>
          <w:color w:val="263238"/>
          <w:sz w:val="22"/>
        </w:rPr>
        <w:t>Key actions (use strengths to seize opportunities, fix weaknesses, reduce threats)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263238"/>
          </w:tcPr>
          <w:p>
            <w:pPr>
              <w:spacing w:after="40"/>
            </w:pPr>
            <w:r/>
            <w:r>
              <w:rPr>
                <w:b/>
                <w:i w:val="0"/>
                <w:color w:val="FFFFFF"/>
                <w:sz w:val="20"/>
              </w:rPr>
              <w:t>Action</w:t>
            </w:r>
          </w:p>
        </w:tc>
        <w:tc>
          <w:tcPr>
            <w:tcW w:type="dxa" w:w="2628"/>
            <w:shd w:val="clear" w:fill="263238"/>
          </w:tcPr>
          <w:p>
            <w:pPr>
              <w:spacing w:after="40"/>
            </w:pPr>
            <w:r/>
            <w:r>
              <w:rPr>
                <w:b/>
                <w:i w:val="0"/>
                <w:color w:val="FFFFFF"/>
                <w:sz w:val="20"/>
              </w:rPr>
              <w:t>Owner</w:t>
            </w:r>
          </w:p>
        </w:tc>
        <w:tc>
          <w:tcPr>
            <w:tcW w:type="dxa" w:w="2628"/>
            <w:shd w:val="clear" w:fill="263238"/>
          </w:tcPr>
          <w:p>
            <w:pPr>
              <w:spacing w:after="40"/>
            </w:pPr>
            <w:r/>
            <w:r>
              <w:rPr>
                <w:b/>
                <w:i w:val="0"/>
                <w:color w:val="FFFFFF"/>
                <w:sz w:val="20"/>
              </w:rPr>
              <w:t>Deadline</w:t>
            </w:r>
          </w:p>
        </w:tc>
        <w:tc>
          <w:tcPr>
            <w:tcW w:type="dxa" w:w="2628"/>
            <w:shd w:val="clear" w:fill="263238"/>
          </w:tcPr>
          <w:p>
            <w:pPr>
              <w:spacing w:after="40"/>
            </w:pPr>
            <w:r/>
            <w:r>
              <w:rPr>
                <w:b/>
                <w:i w:val="0"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62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  <w:t>Launch online ordering before branch opens</w:t>
            </w:r>
          </w:p>
        </w:tc>
        <w:tc>
          <w:tcPr>
            <w:tcW w:type="dxa" w:w="262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  <w:t>Operations</w:t>
            </w:r>
          </w:p>
        </w:tc>
        <w:tc>
          <w:tcPr>
            <w:tcW w:type="dxa" w:w="262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  <w:t>Jan 2027</w:t>
            </w:r>
          </w:p>
        </w:tc>
        <w:tc>
          <w:tcPr>
            <w:tcW w:type="dxa" w:w="262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  <w:t>Planned</w:t>
            </w:r>
          </w:p>
        </w:tc>
      </w:tr>
      <w:tr>
        <w:tc>
          <w:tcPr>
            <w:tcW w:type="dxa" w:w="262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  <w:t>Offer office-park lunch subscription</w:t>
            </w:r>
          </w:p>
        </w:tc>
        <w:tc>
          <w:tcPr>
            <w:tcW w:type="dxa" w:w="262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  <w:t>Marketing</w:t>
            </w:r>
          </w:p>
        </w:tc>
        <w:tc>
          <w:tcPr>
            <w:tcW w:type="dxa" w:w="262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  <w:t>Feb 2027</w:t>
            </w:r>
          </w:p>
        </w:tc>
        <w:tc>
          <w:tcPr>
            <w:tcW w:type="dxa" w:w="262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  <w:t>Planned</w:t>
            </w:r>
          </w:p>
        </w:tc>
      </w:tr>
      <w:tr>
        <w:tc>
          <w:tcPr>
            <w:tcW w:type="dxa" w:w="262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  <w:t>Add a second produce supplier</w:t>
            </w:r>
          </w:p>
        </w:tc>
        <w:tc>
          <w:tcPr>
            <w:tcW w:type="dxa" w:w="262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  <w:t>Purchasing</w:t>
            </w:r>
          </w:p>
        </w:tc>
        <w:tc>
          <w:tcPr>
            <w:tcW w:type="dxa" w:w="262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  <w:t>Dec 2026</w:t>
            </w:r>
          </w:p>
        </w:tc>
        <w:tc>
          <w:tcPr>
            <w:tcW w:type="dxa" w:w="262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  <w:t>In progress</w:t>
            </w:r>
          </w:p>
        </w:tc>
      </w:tr>
      <w:tr>
        <w:tc>
          <w:tcPr>
            <w:tcW w:type="dxa" w:w="262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8"/>
          </w:tcPr>
          <w:p>
            <w:pPr>
              <w:spacing w:after="4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